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F5CB" w14:textId="77777777" w:rsidR="008C3E6D" w:rsidRDefault="008C3E6D" w:rsidP="008C3E6D">
      <w:pPr>
        <w:pStyle w:val="NormalWeb"/>
        <w:shd w:val="clear" w:color="auto" w:fill="FFFFFF"/>
        <w:spacing w:before="0" w:beforeAutospacing="0" w:after="240" w:afterAutospacing="0"/>
        <w:rPr>
          <w:rFonts w:ascii="Calibri" w:hAnsi="Calibri" w:cs="Calibri"/>
          <w:b/>
          <w:bCs/>
          <w:color w:val="201F1E"/>
          <w:sz w:val="22"/>
          <w:szCs w:val="22"/>
        </w:rPr>
      </w:pPr>
      <w:r>
        <w:rPr>
          <w:rFonts w:ascii="Calibri" w:hAnsi="Calibri" w:cs="Calibri"/>
          <w:b/>
          <w:bCs/>
          <w:color w:val="201F1E"/>
          <w:sz w:val="22"/>
          <w:szCs w:val="22"/>
        </w:rPr>
        <w:fldChar w:fldCharType="begin"/>
      </w:r>
      <w:r>
        <w:rPr>
          <w:rFonts w:ascii="Calibri" w:hAnsi="Calibri" w:cs="Calibri"/>
          <w:b/>
          <w:bCs/>
          <w:color w:val="201F1E"/>
          <w:sz w:val="22"/>
          <w:szCs w:val="22"/>
        </w:rPr>
        <w:instrText xml:space="preserve"> HYPERLINK "https://www.governor.wa.gov/sites/default/files/proclamations/20-18%20-%20COVID-19%20-%20DSHS%20Waivers%20%28tmp%29.pdf" \t "_blank" </w:instrText>
      </w:r>
      <w:r>
        <w:rPr>
          <w:rFonts w:ascii="Calibri" w:hAnsi="Calibri" w:cs="Calibri"/>
          <w:b/>
          <w:bCs/>
          <w:color w:val="201F1E"/>
          <w:sz w:val="22"/>
          <w:szCs w:val="22"/>
        </w:rPr>
        <w:fldChar w:fldCharType="separate"/>
      </w:r>
      <w:r>
        <w:rPr>
          <w:rStyle w:val="Hyperlink"/>
          <w:rFonts w:ascii="Calibri" w:hAnsi="Calibri" w:cs="Calibri"/>
          <w:b/>
          <w:bCs/>
          <w:sz w:val="22"/>
          <w:szCs w:val="22"/>
          <w:bdr w:val="none" w:sz="0" w:space="0" w:color="auto" w:frame="1"/>
        </w:rPr>
        <w:t>Governor’s Proclamation 20-18</w:t>
      </w:r>
      <w:r>
        <w:rPr>
          <w:rFonts w:ascii="Calibri" w:hAnsi="Calibri" w:cs="Calibri"/>
          <w:b/>
          <w:bCs/>
          <w:color w:val="201F1E"/>
          <w:sz w:val="22"/>
          <w:szCs w:val="22"/>
        </w:rPr>
        <w:fldChar w:fldCharType="end"/>
      </w:r>
      <w:r>
        <w:rPr>
          <w:rFonts w:ascii="Calibri" w:hAnsi="Calibri" w:cs="Calibri"/>
          <w:b/>
          <w:bCs/>
          <w:color w:val="201F1E"/>
          <w:sz w:val="22"/>
          <w:szCs w:val="22"/>
        </w:rPr>
        <w:t> Waives the following-</w:t>
      </w:r>
    </w:p>
    <w:p w14:paraId="0ED1464A" w14:textId="77777777" w:rsidR="008C3E6D" w:rsidRDefault="008C3E6D" w:rsidP="008C3E6D">
      <w:pPr>
        <w:pStyle w:val="NormalWeb"/>
        <w:shd w:val="clear" w:color="auto" w:fill="FFFFFF"/>
        <w:spacing w:before="0" w:beforeAutospacing="0" w:after="240" w:afterAutospacing="0"/>
        <w:rPr>
          <w:rFonts w:ascii="Calibri" w:hAnsi="Calibri" w:cs="Calibri"/>
          <w:color w:val="201F1E"/>
          <w:sz w:val="22"/>
          <w:szCs w:val="22"/>
        </w:rPr>
      </w:pPr>
      <w:r>
        <w:rPr>
          <w:rFonts w:ascii="Calibri" w:hAnsi="Calibri" w:cs="Calibri"/>
          <w:b/>
          <w:bCs/>
          <w:color w:val="201F1E"/>
          <w:sz w:val="22"/>
          <w:szCs w:val="22"/>
        </w:rPr>
        <w:t xml:space="preserve">Skilled Nursing Facilities </w:t>
      </w:r>
    </w:p>
    <w:p w14:paraId="0D823AAF" w14:textId="77777777" w:rsidR="008C3E6D" w:rsidRDefault="00D83970" w:rsidP="008C3E6D">
      <w:pPr>
        <w:pStyle w:val="NormalWeb"/>
        <w:shd w:val="clear" w:color="auto" w:fill="FFFFFF"/>
        <w:spacing w:before="0" w:beforeAutospacing="0" w:after="240" w:afterAutospacing="0"/>
        <w:rPr>
          <w:rFonts w:ascii="Calibri" w:hAnsi="Calibri" w:cs="Calibri"/>
          <w:color w:val="201F1E"/>
          <w:sz w:val="22"/>
          <w:szCs w:val="22"/>
        </w:rPr>
      </w:pPr>
      <w:hyperlink r:id="rId5" w:anchor=":~:text=" w:tgtFrame="_blank" w:history="1">
        <w:r w:rsidR="008C3E6D">
          <w:rPr>
            <w:rStyle w:val="Hyperlink"/>
            <w:rFonts w:ascii="Calibri" w:hAnsi="Calibri" w:cs="Calibri"/>
            <w:sz w:val="22"/>
            <w:szCs w:val="22"/>
            <w:bdr w:val="none" w:sz="0" w:space="0" w:color="auto" w:frame="1"/>
          </w:rPr>
          <w:t>RCW 18.51.091</w:t>
        </w:r>
      </w:hyperlink>
      <w:r w:rsidR="008C3E6D">
        <w:rPr>
          <w:rFonts w:ascii="Calibri" w:hAnsi="Calibri" w:cs="Calibri"/>
          <w:b/>
          <w:bCs/>
          <w:color w:val="201F1E"/>
          <w:sz w:val="22"/>
          <w:szCs w:val="22"/>
        </w:rPr>
        <w:t> – </w:t>
      </w:r>
      <w:r w:rsidR="008C3E6D">
        <w:rPr>
          <w:rFonts w:ascii="Calibri" w:hAnsi="Calibri" w:cs="Calibri"/>
          <w:color w:val="201F1E"/>
          <w:sz w:val="22"/>
          <w:szCs w:val="22"/>
        </w:rPr>
        <w:t>Nursing Home annual survey and community-based services review</w:t>
      </w:r>
    </w:p>
    <w:p w14:paraId="58120F15" w14:textId="77777777" w:rsidR="008C3E6D" w:rsidRDefault="00D83970" w:rsidP="008C3E6D">
      <w:pPr>
        <w:pStyle w:val="NormalWeb"/>
        <w:shd w:val="clear" w:color="auto" w:fill="FFFFFF"/>
        <w:spacing w:before="0" w:beforeAutospacing="0" w:after="240" w:afterAutospacing="0"/>
        <w:rPr>
          <w:rFonts w:ascii="Calibri" w:hAnsi="Calibri" w:cs="Calibri"/>
          <w:color w:val="201F1E"/>
          <w:sz w:val="22"/>
          <w:szCs w:val="22"/>
        </w:rPr>
      </w:pPr>
      <w:hyperlink r:id="rId6" w:tgtFrame="_blank" w:history="1">
        <w:r w:rsidR="008C3E6D">
          <w:rPr>
            <w:rStyle w:val="Hyperlink"/>
            <w:rFonts w:ascii="Calibri" w:hAnsi="Calibri" w:cs="Calibri"/>
            <w:sz w:val="22"/>
            <w:szCs w:val="22"/>
            <w:bdr w:val="none" w:sz="0" w:space="0" w:color="auto" w:frame="1"/>
          </w:rPr>
          <w:t>RCW 18.51.230</w:t>
        </w:r>
      </w:hyperlink>
      <w:r w:rsidR="008C3E6D">
        <w:rPr>
          <w:rFonts w:ascii="Calibri" w:hAnsi="Calibri" w:cs="Calibri"/>
          <w:color w:val="201F1E"/>
          <w:sz w:val="22"/>
          <w:szCs w:val="22"/>
        </w:rPr>
        <w:t> – Nursing Home survey during night/weekend hours</w:t>
      </w:r>
    </w:p>
    <w:p w14:paraId="47D98BB8" w14:textId="77777777"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hyperlink r:id="rId7" w:tgtFrame="_blank" w:history="1">
        <w:r w:rsidR="008C3E6D">
          <w:rPr>
            <w:rStyle w:val="Hyperlink"/>
            <w:rFonts w:ascii="Calibri" w:hAnsi="Calibri" w:cs="Calibri"/>
            <w:sz w:val="22"/>
            <w:szCs w:val="22"/>
            <w:bdr w:val="none" w:sz="0" w:space="0" w:color="auto" w:frame="1"/>
          </w:rPr>
          <w:t>RCW 70.129.090(2)</w:t>
        </w:r>
      </w:hyperlink>
      <w:r w:rsidR="008C3E6D">
        <w:rPr>
          <w:rFonts w:ascii="Calibri" w:hAnsi="Calibri" w:cs="Calibri"/>
          <w:color w:val="201F1E"/>
          <w:sz w:val="22"/>
          <w:szCs w:val="22"/>
        </w:rPr>
        <w:t> -Rights to reasonable access to a resident by representative, entity  or individual </w:t>
      </w:r>
      <w:r w:rsidR="008C3E6D">
        <w:rPr>
          <w:rFonts w:ascii="Helvetica" w:hAnsi="Helvetica" w:cs="Calibri"/>
          <w:color w:val="000000"/>
          <w:sz w:val="22"/>
          <w:szCs w:val="22"/>
          <w:bdr w:val="none" w:sz="0" w:space="0" w:color="auto" w:frame="1"/>
          <w:shd w:val="clear" w:color="auto" w:fill="FFFFFF"/>
        </w:rPr>
        <w:t>that </w:t>
      </w:r>
      <w:r w:rsidR="008C3E6D">
        <w:rPr>
          <w:rFonts w:ascii="Calibri" w:hAnsi="Calibri" w:cs="Calibri"/>
          <w:color w:val="000000"/>
          <w:sz w:val="22"/>
          <w:szCs w:val="22"/>
          <w:bdr w:val="none" w:sz="0" w:space="0" w:color="auto" w:frame="1"/>
          <w:shd w:val="clear" w:color="auto" w:fill="FFFFFF"/>
        </w:rPr>
        <w:t>provides health, social, legal, or other services to the resident, subject to the resident's right to deny or withdraw consent at any time.</w:t>
      </w:r>
    </w:p>
    <w:p w14:paraId="7FD1EBAE" w14:textId="75DC5F0A" w:rsidR="008C3E6D" w:rsidRDefault="00D83970" w:rsidP="008C3E6D">
      <w:pPr>
        <w:pStyle w:val="NormalWeb"/>
        <w:shd w:val="clear" w:color="auto" w:fill="FFFFFF"/>
        <w:spacing w:before="0" w:beforeAutospacing="0" w:after="0" w:afterAutospacing="0" w:line="231" w:lineRule="atLeast"/>
        <w:rPr>
          <w:rFonts w:ascii="Calibri" w:hAnsi="Calibri" w:cs="Calibri"/>
          <w:color w:val="201F1E"/>
          <w:sz w:val="22"/>
          <w:szCs w:val="22"/>
        </w:rPr>
      </w:pPr>
      <w:r>
        <w:br/>
      </w:r>
      <w:hyperlink r:id="rId8" w:tgtFrame="_blank" w:history="1">
        <w:r w:rsidR="008C3E6D">
          <w:rPr>
            <w:rStyle w:val="Hyperlink"/>
            <w:rFonts w:ascii="Calibri" w:hAnsi="Calibri" w:cs="Calibri"/>
            <w:sz w:val="22"/>
            <w:szCs w:val="22"/>
            <w:bdr w:val="none" w:sz="0" w:space="0" w:color="auto" w:frame="1"/>
          </w:rPr>
          <w:t>RCW 74.42.056</w:t>
        </w:r>
      </w:hyperlink>
      <w:r w:rsidR="008C3E6D">
        <w:rPr>
          <w:rFonts w:ascii="Calibri Light" w:hAnsi="Calibri Light" w:cs="Calibri Light"/>
          <w:color w:val="1F3763"/>
          <w:bdr w:val="none" w:sz="0" w:space="0" w:color="auto" w:frame="1"/>
        </w:rPr>
        <w:t> - </w:t>
      </w:r>
      <w:r w:rsidR="008C3E6D">
        <w:rPr>
          <w:rFonts w:ascii="Calibri" w:hAnsi="Calibri" w:cs="Calibri"/>
          <w:color w:val="000000"/>
          <w:sz w:val="22"/>
          <w:szCs w:val="22"/>
          <w:bdr w:val="none" w:sz="0" w:space="0" w:color="auto" w:frame="1"/>
        </w:rPr>
        <w:t>Department assessment of Medicaid eligible individuals—Requirements. Admitting residents without Medicaid eligibility review</w:t>
      </w:r>
    </w:p>
    <w:p w14:paraId="334B6A3F" w14:textId="2236FD98" w:rsidR="008C3E6D" w:rsidRDefault="00D83970" w:rsidP="008C3E6D">
      <w:pPr>
        <w:pStyle w:val="NormalWeb"/>
        <w:shd w:val="clear" w:color="auto" w:fill="FFFFFF"/>
        <w:spacing w:before="0" w:beforeAutospacing="0" w:after="0" w:afterAutospacing="0" w:line="231" w:lineRule="atLeast"/>
        <w:rPr>
          <w:rFonts w:ascii="Calibri" w:hAnsi="Calibri" w:cs="Calibri"/>
          <w:color w:val="201F1E"/>
          <w:sz w:val="22"/>
          <w:szCs w:val="22"/>
        </w:rPr>
      </w:pPr>
      <w:r>
        <w:br/>
      </w:r>
      <w:hyperlink r:id="rId9" w:tgtFrame="_blank" w:history="1">
        <w:r w:rsidR="008C3E6D">
          <w:rPr>
            <w:rStyle w:val="Hyperlink"/>
            <w:rFonts w:ascii="Calibri" w:hAnsi="Calibri" w:cs="Calibri"/>
            <w:sz w:val="22"/>
            <w:szCs w:val="22"/>
            <w:bdr w:val="none" w:sz="0" w:space="0" w:color="auto" w:frame="1"/>
          </w:rPr>
          <w:t>RCW 74.42.360(2</w:t>
        </w:r>
        <w:proofErr w:type="gramStart"/>
        <w:r w:rsidR="008C3E6D">
          <w:rPr>
            <w:rStyle w:val="Hyperlink"/>
            <w:rFonts w:ascii="Calibri" w:hAnsi="Calibri" w:cs="Calibri"/>
            <w:sz w:val="22"/>
            <w:szCs w:val="22"/>
            <w:bdr w:val="none" w:sz="0" w:space="0" w:color="auto" w:frame="1"/>
          </w:rPr>
          <w:t>),(</w:t>
        </w:r>
        <w:proofErr w:type="gramEnd"/>
        <w:r w:rsidR="008C3E6D">
          <w:rPr>
            <w:rStyle w:val="Hyperlink"/>
            <w:rFonts w:ascii="Calibri" w:hAnsi="Calibri" w:cs="Calibri"/>
            <w:sz w:val="22"/>
            <w:szCs w:val="22"/>
            <w:bdr w:val="none" w:sz="0" w:space="0" w:color="auto" w:frame="1"/>
          </w:rPr>
          <w:t>3), and (4)</w:t>
        </w:r>
      </w:hyperlink>
      <w:r w:rsidR="008C3E6D">
        <w:rPr>
          <w:rFonts w:ascii="Calibri Light" w:hAnsi="Calibri Light" w:cs="Calibri Light"/>
          <w:color w:val="1F3763"/>
          <w:bdr w:val="none" w:sz="0" w:space="0" w:color="auto" w:frame="1"/>
        </w:rPr>
        <w:t> - </w:t>
      </w:r>
      <w:r w:rsidR="008C3E6D">
        <w:rPr>
          <w:rFonts w:ascii="Calibri" w:hAnsi="Calibri" w:cs="Calibri"/>
          <w:color w:val="000000"/>
          <w:sz w:val="22"/>
          <w:szCs w:val="22"/>
          <w:bdr w:val="none" w:sz="0" w:space="0" w:color="auto" w:frame="1"/>
        </w:rPr>
        <w:t>Adequate staff—Minimum staffing standards- waiving the 3.4 HPRD requirement, 24-hour RN requirement in large non-essential community providers, 16 hour RN requirement in essential community providers and small non-essential community providers</w:t>
      </w:r>
    </w:p>
    <w:p w14:paraId="6F37CC6C" w14:textId="32AB668B"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r>
        <w:br/>
      </w:r>
      <w:bookmarkStart w:id="0" w:name="_GoBack"/>
      <w:bookmarkEnd w:id="0"/>
      <w:r>
        <w:fldChar w:fldCharType="begin"/>
      </w:r>
      <w:r>
        <w:instrText xml:space="preserve"> HYPERLINK "https://www.governor.wa.gov/sites/default/files/proclamations/20-18%20-%20COVID-19%20-%20DSHS%20Waivers%20%28tmp%29.pdf" \t "_blank" </w:instrText>
      </w:r>
      <w:r>
        <w:fldChar w:fldCharType="separate"/>
      </w:r>
      <w:r w:rsidR="008C3E6D">
        <w:rPr>
          <w:rStyle w:val="Hyperlink"/>
          <w:rFonts w:ascii="Calibri" w:hAnsi="Calibri" w:cs="Calibri"/>
          <w:sz w:val="22"/>
          <w:szCs w:val="22"/>
          <w:bdr w:val="none" w:sz="0" w:space="0" w:color="auto" w:frame="1"/>
        </w:rPr>
        <w:t>WAC 388-97-1080(3), (4), (5), (6), (7), and (8)</w:t>
      </w:r>
      <w:r>
        <w:rPr>
          <w:rStyle w:val="Hyperlink"/>
          <w:rFonts w:ascii="Calibri" w:hAnsi="Calibri" w:cs="Calibri"/>
          <w:sz w:val="22"/>
          <w:szCs w:val="22"/>
          <w:bdr w:val="none" w:sz="0" w:space="0" w:color="auto" w:frame="1"/>
        </w:rPr>
        <w:fldChar w:fldCharType="end"/>
      </w:r>
      <w:r w:rsidR="008C3E6D">
        <w:rPr>
          <w:rFonts w:ascii="Calibri" w:hAnsi="Calibri" w:cs="Calibri"/>
          <w:color w:val="201F1E"/>
          <w:sz w:val="22"/>
          <w:szCs w:val="22"/>
        </w:rPr>
        <w:t xml:space="preserve"> – Waiver for 24-hour RN coverage in large non-essential community providers and </w:t>
      </w:r>
      <w:proofErr w:type="gramStart"/>
      <w:r w:rsidR="008C3E6D">
        <w:rPr>
          <w:rFonts w:ascii="Calibri" w:hAnsi="Calibri" w:cs="Calibri"/>
          <w:color w:val="201F1E"/>
          <w:sz w:val="22"/>
          <w:szCs w:val="22"/>
        </w:rPr>
        <w:t>16 hour</w:t>
      </w:r>
      <w:proofErr w:type="gramEnd"/>
      <w:r w:rsidR="008C3E6D">
        <w:rPr>
          <w:rFonts w:ascii="Calibri" w:hAnsi="Calibri" w:cs="Calibri"/>
          <w:color w:val="201F1E"/>
          <w:sz w:val="22"/>
          <w:szCs w:val="22"/>
        </w:rPr>
        <w:t xml:space="preserve"> RN coverage in small non-essential community providers</w:t>
      </w:r>
    </w:p>
    <w:p w14:paraId="4AAA4DC2"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br/>
      </w:r>
      <w:hyperlink r:id="rId10" w:tgtFrame="_blank" w:history="1">
        <w:r>
          <w:rPr>
            <w:rStyle w:val="Hyperlink"/>
            <w:rFonts w:ascii="Calibri" w:hAnsi="Calibri" w:cs="Calibri"/>
            <w:sz w:val="22"/>
            <w:szCs w:val="22"/>
            <w:bdr w:val="none" w:sz="0" w:space="0" w:color="auto" w:frame="1"/>
          </w:rPr>
          <w:t>WAC 388-97-1090</w:t>
        </w:r>
      </w:hyperlink>
      <w:r>
        <w:rPr>
          <w:rFonts w:ascii="Calibri" w:hAnsi="Calibri" w:cs="Calibri"/>
          <w:color w:val="201F1E"/>
          <w:sz w:val="22"/>
          <w:szCs w:val="22"/>
        </w:rPr>
        <w:t> – Direct care hours, 3.4 HPRD</w:t>
      </w:r>
    </w:p>
    <w:p w14:paraId="0275F581"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WAC 388-107-1210(2)(b)</w:t>
      </w:r>
    </w:p>
    <w:p w14:paraId="02580A2B"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68ABEDC" w14:textId="77777777"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hyperlink r:id="rId11" w:tgtFrame="_blank" w:history="1">
        <w:r w:rsidR="008C3E6D">
          <w:rPr>
            <w:rStyle w:val="Hyperlink"/>
            <w:rFonts w:ascii="Calibri" w:hAnsi="Calibri" w:cs="Calibri"/>
            <w:sz w:val="22"/>
            <w:szCs w:val="22"/>
            <w:bdr w:val="none" w:sz="0" w:space="0" w:color="auto" w:frame="1"/>
          </w:rPr>
          <w:t>WAC 388-106-0360</w:t>
        </w:r>
      </w:hyperlink>
      <w:r w:rsidR="008C3E6D">
        <w:rPr>
          <w:rFonts w:ascii="Calibri" w:hAnsi="Calibri" w:cs="Calibri"/>
          <w:color w:val="000000"/>
          <w:sz w:val="22"/>
          <w:szCs w:val="22"/>
          <w:bdr w:val="none" w:sz="0" w:space="0" w:color="auto" w:frame="1"/>
        </w:rPr>
        <w:t> – Admitting a resident without Medicaid eligibility review</w:t>
      </w:r>
    </w:p>
    <w:p w14:paraId="13C8C0FB" w14:textId="77777777" w:rsidR="008C3E6D" w:rsidRDefault="008C3E6D" w:rsidP="008C3E6D">
      <w:pPr>
        <w:pStyle w:val="NormalWeb"/>
        <w:shd w:val="clear" w:color="auto" w:fill="FFFFFF"/>
        <w:spacing w:before="0" w:beforeAutospacing="0" w:after="0" w:afterAutospacing="0"/>
        <w:ind w:right="1440"/>
        <w:rPr>
          <w:rFonts w:ascii="Calibri" w:hAnsi="Calibri" w:cs="Calibri"/>
          <w:color w:val="201F1E"/>
          <w:sz w:val="22"/>
          <w:szCs w:val="22"/>
        </w:rPr>
      </w:pPr>
      <w:r>
        <w:rPr>
          <w:rFonts w:ascii="Calibri" w:hAnsi="Calibri" w:cs="Calibri"/>
          <w:color w:val="201F1E"/>
          <w:sz w:val="22"/>
          <w:szCs w:val="22"/>
        </w:rPr>
        <w:t> </w:t>
      </w:r>
    </w:p>
    <w:p w14:paraId="17A01ED6" w14:textId="77777777"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hyperlink r:id="rId12" w:tgtFrame="_blank" w:history="1">
        <w:r w:rsidR="008C3E6D">
          <w:rPr>
            <w:rStyle w:val="Hyperlink"/>
            <w:rFonts w:ascii="Calibri" w:hAnsi="Calibri" w:cs="Calibri"/>
            <w:sz w:val="22"/>
            <w:szCs w:val="22"/>
            <w:bdr w:val="none" w:sz="0" w:space="0" w:color="auto" w:frame="1"/>
          </w:rPr>
          <w:t>Governor’s First proclamation 20-06</w:t>
        </w:r>
      </w:hyperlink>
    </w:p>
    <w:p w14:paraId="74CBC69A"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88EF5BF" w14:textId="77777777"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hyperlink r:id="rId13" w:tgtFrame="_blank" w:history="1">
        <w:r w:rsidR="008C3E6D">
          <w:rPr>
            <w:rStyle w:val="Hyperlink"/>
            <w:rFonts w:ascii="Calibri" w:hAnsi="Calibri" w:cs="Calibri"/>
            <w:sz w:val="22"/>
            <w:szCs w:val="22"/>
            <w:bdr w:val="none" w:sz="0" w:space="0" w:color="auto" w:frame="1"/>
          </w:rPr>
          <w:t>WAC 388-97-0520(1)(g),</w:t>
        </w:r>
      </w:hyperlink>
      <w:r w:rsidR="008C3E6D">
        <w:rPr>
          <w:rFonts w:ascii="Calibri" w:hAnsi="Calibri" w:cs="Calibri"/>
          <w:color w:val="201F1E"/>
          <w:sz w:val="22"/>
          <w:szCs w:val="22"/>
        </w:rPr>
        <w:t> in its entirety: “(g) Subject to the resident’s right to deny or withdraw consent at any time, immediate family or other relatives of the resident;”. 8.</w:t>
      </w:r>
    </w:p>
    <w:p w14:paraId="2F7682EB"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08945BD" w14:textId="77777777" w:rsidR="008C3E6D" w:rsidRDefault="00D83970" w:rsidP="008C3E6D">
      <w:pPr>
        <w:pStyle w:val="NormalWeb"/>
        <w:shd w:val="clear" w:color="auto" w:fill="FFFFFF"/>
        <w:spacing w:before="0" w:beforeAutospacing="0" w:after="0" w:afterAutospacing="0"/>
        <w:rPr>
          <w:rFonts w:ascii="Calibri" w:hAnsi="Calibri" w:cs="Calibri"/>
          <w:color w:val="201F1E"/>
          <w:sz w:val="22"/>
          <w:szCs w:val="22"/>
        </w:rPr>
      </w:pPr>
      <w:hyperlink r:id="rId14" w:tgtFrame="_blank" w:history="1">
        <w:r w:rsidR="008C3E6D">
          <w:rPr>
            <w:rStyle w:val="Hyperlink"/>
            <w:rFonts w:ascii="Calibri" w:hAnsi="Calibri" w:cs="Calibri"/>
            <w:sz w:val="22"/>
            <w:szCs w:val="22"/>
            <w:bdr w:val="none" w:sz="0" w:space="0" w:color="auto" w:frame="1"/>
          </w:rPr>
          <w:t>WAC 388-97-0520(1)(h),</w:t>
        </w:r>
      </w:hyperlink>
      <w:r w:rsidR="008C3E6D">
        <w:rPr>
          <w:rFonts w:ascii="Calibri" w:hAnsi="Calibri" w:cs="Calibri"/>
          <w:color w:val="201F1E"/>
          <w:sz w:val="22"/>
          <w:szCs w:val="22"/>
        </w:rPr>
        <w:t> in its entirety: “(h) Subject to reasonable restrictions and the resident's right to deny or withdraw consent at any time, others who are visiting with the consent of the resident.”</w:t>
      </w:r>
    </w:p>
    <w:p w14:paraId="5D4551BA" w14:textId="77777777" w:rsidR="008C3E6D" w:rsidRDefault="008C3E6D" w:rsidP="008C3E6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75D4654" w14:textId="77777777" w:rsidR="00655C5D" w:rsidRPr="008C3E6D" w:rsidRDefault="008C3E6D" w:rsidP="006E2795">
      <w:pPr>
        <w:rPr>
          <w:b/>
        </w:rPr>
      </w:pPr>
      <w:r w:rsidRPr="008C3E6D">
        <w:rPr>
          <w:b/>
        </w:rPr>
        <w:t xml:space="preserve">Assisted Living </w:t>
      </w:r>
    </w:p>
    <w:p w14:paraId="605FE4B9" w14:textId="77777777" w:rsidR="006E1569" w:rsidRDefault="00D83970" w:rsidP="006E2795">
      <w:hyperlink r:id="rId15" w:history="1">
        <w:r w:rsidR="006E2795" w:rsidRPr="006E2795">
          <w:rPr>
            <w:rStyle w:val="Hyperlink"/>
          </w:rPr>
          <w:t>RCW 18.20.110</w:t>
        </w:r>
      </w:hyperlink>
      <w:r w:rsidR="006E2795">
        <w:t xml:space="preserve"> Inspection of assisted living facilities—Approval of changes or new facilities.</w:t>
      </w:r>
    </w:p>
    <w:p w14:paraId="59D66FBD" w14:textId="77777777" w:rsidR="006E2795" w:rsidRDefault="006E2795" w:rsidP="006E2795">
      <w:r>
        <w:t xml:space="preserve">The proclamation </w:t>
      </w:r>
      <w:r w:rsidR="00655C5D">
        <w:t xml:space="preserve">suspends the annual inspection </w:t>
      </w:r>
      <w:r w:rsidR="00242A6C">
        <w:t xml:space="preserve">requirements, yet leaves the ability to make unannounced visits at any time. RCS has stated they have been given direction to complete visits that focus on infection control and PPE inspection. </w:t>
      </w:r>
    </w:p>
    <w:p w14:paraId="12897A08" w14:textId="77777777" w:rsidR="00735F98" w:rsidRDefault="00735F98" w:rsidP="004E31EF">
      <w:pPr>
        <w:rPr>
          <w:b/>
          <w:bCs/>
        </w:rPr>
      </w:pPr>
    </w:p>
    <w:p w14:paraId="3F1B4C9D" w14:textId="77777777" w:rsidR="008C3E6D" w:rsidRPr="00735F98" w:rsidRDefault="00D83970" w:rsidP="006E2795">
      <w:pPr>
        <w:rPr>
          <w:bCs/>
        </w:rPr>
      </w:pPr>
      <w:hyperlink r:id="rId16" w:history="1">
        <w:r w:rsidR="004E31EF" w:rsidRPr="00735F98">
          <w:rPr>
            <w:rStyle w:val="Hyperlink"/>
            <w:bCs/>
          </w:rPr>
          <w:t>RCW 74.39A.056</w:t>
        </w:r>
      </w:hyperlink>
      <w:r w:rsidR="00735F98">
        <w:rPr>
          <w:bCs/>
        </w:rPr>
        <w:t xml:space="preserve">, </w:t>
      </w:r>
      <w:hyperlink r:id="rId17" w:history="1">
        <w:r w:rsidR="003B00F6" w:rsidRPr="00735F98">
          <w:rPr>
            <w:rStyle w:val="Hyperlink"/>
            <w:bCs/>
          </w:rPr>
          <w:t>WAC 388-78A-2462,</w:t>
        </w:r>
      </w:hyperlink>
      <w:r w:rsidR="003B00F6" w:rsidRPr="00735F98">
        <w:rPr>
          <w:bCs/>
        </w:rPr>
        <w:t xml:space="preserve"> </w:t>
      </w:r>
      <w:hyperlink r:id="rId18" w:history="1">
        <w:r w:rsidR="00735F98" w:rsidRPr="00735F98">
          <w:rPr>
            <w:rStyle w:val="Hyperlink"/>
            <w:bCs/>
          </w:rPr>
          <w:t xml:space="preserve">WAC </w:t>
        </w:r>
        <w:r w:rsidR="003B00F6" w:rsidRPr="00735F98">
          <w:rPr>
            <w:rStyle w:val="Hyperlink"/>
            <w:bCs/>
          </w:rPr>
          <w:t>388-78A-24681</w:t>
        </w:r>
      </w:hyperlink>
      <w:r w:rsidR="00735F98">
        <w:rPr>
          <w:bCs/>
        </w:rPr>
        <w:t xml:space="preserve"> </w:t>
      </w:r>
      <w:r w:rsidR="003B00F6" w:rsidRPr="00735F98">
        <w:t>Waives</w:t>
      </w:r>
      <w:r w:rsidR="004E31EF" w:rsidRPr="00735F98">
        <w:t xml:space="preserve"> the</w:t>
      </w:r>
      <w:r w:rsidR="00735F98">
        <w:t xml:space="preserve"> fingerprint background check</w:t>
      </w:r>
      <w:r w:rsidR="004E31EF" w:rsidRPr="00735F98">
        <w:t xml:space="preserve"> requirement </w:t>
      </w:r>
      <w:r w:rsidR="003B00F6" w:rsidRPr="00735F98">
        <w:t>due to disruptions in the third party operations.</w:t>
      </w:r>
      <w:r w:rsidR="003B00F6">
        <w:t xml:space="preserve"> </w:t>
      </w:r>
    </w:p>
    <w:p w14:paraId="1556F65C" w14:textId="77777777" w:rsidR="00735F98" w:rsidRPr="00735F98" w:rsidRDefault="00735F98" w:rsidP="006E2795">
      <w:pPr>
        <w:rPr>
          <w:b/>
        </w:rPr>
      </w:pPr>
      <w:r w:rsidRPr="00735F98">
        <w:rPr>
          <w:b/>
        </w:rPr>
        <w:t xml:space="preserve">Visitation changes </w:t>
      </w:r>
      <w:r w:rsidR="00880985">
        <w:rPr>
          <w:b/>
        </w:rPr>
        <w:t xml:space="preserve">for both Assisted Living and Skilled Nursing Facilities </w:t>
      </w:r>
    </w:p>
    <w:p w14:paraId="4435DA4C" w14:textId="77777777" w:rsidR="00655C5D" w:rsidRPr="00D749A7" w:rsidRDefault="00655C5D" w:rsidP="00655C5D">
      <w:pPr>
        <w:spacing w:after="0"/>
        <w:rPr>
          <w:rFonts w:cstheme="minorHAnsi"/>
        </w:rPr>
      </w:pPr>
      <w:r w:rsidRPr="00D749A7">
        <w:rPr>
          <w:rFonts w:cstheme="minorHAnsi"/>
        </w:rPr>
        <w:lastRenderedPageBreak/>
        <w:t xml:space="preserve">DSHS has updated it guidance for visitation in response to the Governors </w:t>
      </w:r>
      <w:hyperlink r:id="rId19" w:history="1">
        <w:r w:rsidRPr="00D749A7">
          <w:rPr>
            <w:rStyle w:val="Hyperlink"/>
            <w:rFonts w:cstheme="minorHAnsi"/>
          </w:rPr>
          <w:t>amended proclamation</w:t>
        </w:r>
        <w:r>
          <w:rPr>
            <w:rStyle w:val="Hyperlink"/>
            <w:rFonts w:cstheme="minorHAnsi"/>
          </w:rPr>
          <w:t xml:space="preserve"> 20-16</w:t>
        </w:r>
        <w:r w:rsidRPr="00D749A7">
          <w:rPr>
            <w:rStyle w:val="Hyperlink"/>
            <w:rFonts w:cstheme="minorHAnsi"/>
          </w:rPr>
          <w:t xml:space="preserve"> </w:t>
        </w:r>
      </w:hyperlink>
      <w:r w:rsidRPr="00D749A7">
        <w:rPr>
          <w:rFonts w:cstheme="minorHAnsi"/>
        </w:rPr>
        <w:t>from earlier this week.</w:t>
      </w:r>
    </w:p>
    <w:p w14:paraId="61047C42" w14:textId="77777777" w:rsidR="00655C5D" w:rsidRPr="00D749A7" w:rsidRDefault="00655C5D" w:rsidP="00655C5D">
      <w:pPr>
        <w:spacing w:after="0"/>
        <w:rPr>
          <w:rFonts w:cstheme="minorHAnsi"/>
        </w:rPr>
      </w:pPr>
    </w:p>
    <w:p w14:paraId="041FEA57" w14:textId="77777777" w:rsidR="00655C5D" w:rsidRPr="00D749A7" w:rsidRDefault="00655C5D" w:rsidP="00655C5D">
      <w:pPr>
        <w:spacing w:after="0"/>
        <w:rPr>
          <w:rFonts w:cstheme="minorHAnsi"/>
        </w:rPr>
      </w:pPr>
      <w:r w:rsidRPr="00D749A7">
        <w:rPr>
          <w:rFonts w:cstheme="minorHAnsi"/>
        </w:rPr>
        <w:t>The amendment now directs all long term care facilities to restrict visitation by any person except for the following;</w:t>
      </w:r>
    </w:p>
    <w:p w14:paraId="576DB078" w14:textId="77777777" w:rsidR="00655C5D" w:rsidRPr="00D749A7" w:rsidRDefault="00655C5D" w:rsidP="00655C5D">
      <w:pPr>
        <w:pStyle w:val="ListParagraph"/>
        <w:numPr>
          <w:ilvl w:val="0"/>
          <w:numId w:val="1"/>
        </w:numPr>
        <w:spacing w:after="0"/>
        <w:rPr>
          <w:rFonts w:cstheme="minorHAnsi"/>
        </w:rPr>
      </w:pPr>
      <w:r w:rsidRPr="00D749A7">
        <w:rPr>
          <w:rFonts w:cstheme="minorHAnsi"/>
        </w:rPr>
        <w:t>End of life situations</w:t>
      </w:r>
    </w:p>
    <w:p w14:paraId="2617D385" w14:textId="77777777" w:rsidR="00655C5D" w:rsidRPr="00D749A7" w:rsidRDefault="00655C5D" w:rsidP="00655C5D">
      <w:pPr>
        <w:pStyle w:val="ListParagraph"/>
        <w:numPr>
          <w:ilvl w:val="0"/>
          <w:numId w:val="1"/>
        </w:numPr>
        <w:spacing w:after="0"/>
        <w:rPr>
          <w:rFonts w:cstheme="minorHAnsi"/>
        </w:rPr>
      </w:pPr>
      <w:r w:rsidRPr="00D749A7">
        <w:rPr>
          <w:rFonts w:cstheme="minorHAnsi"/>
        </w:rPr>
        <w:t>Visits by attorneys, administrative law judges, advocates or similar persons who represent a resident</w:t>
      </w:r>
    </w:p>
    <w:p w14:paraId="7B1A6CAE" w14:textId="77777777" w:rsidR="00655C5D" w:rsidRPr="00D749A7" w:rsidRDefault="00655C5D" w:rsidP="00655C5D">
      <w:pPr>
        <w:pStyle w:val="ListParagraph"/>
        <w:numPr>
          <w:ilvl w:val="0"/>
          <w:numId w:val="1"/>
        </w:numPr>
        <w:spacing w:after="0"/>
        <w:rPr>
          <w:rFonts w:cstheme="minorHAnsi"/>
        </w:rPr>
      </w:pPr>
      <w:r w:rsidRPr="00D749A7">
        <w:rPr>
          <w:rFonts w:cstheme="minorHAnsi"/>
        </w:rPr>
        <w:t>Vendors or volunteers who supply or work in a facility</w:t>
      </w:r>
    </w:p>
    <w:p w14:paraId="3FC84779" w14:textId="77777777" w:rsidR="00655C5D" w:rsidRPr="00D749A7" w:rsidRDefault="00655C5D" w:rsidP="00655C5D">
      <w:pPr>
        <w:pStyle w:val="ListParagraph"/>
        <w:numPr>
          <w:ilvl w:val="0"/>
          <w:numId w:val="1"/>
        </w:numPr>
        <w:spacing w:after="0"/>
        <w:rPr>
          <w:rFonts w:cstheme="minorHAnsi"/>
        </w:rPr>
      </w:pPr>
      <w:r w:rsidRPr="00D749A7">
        <w:rPr>
          <w:rFonts w:cstheme="minorHAnsi"/>
        </w:rPr>
        <w:t>Health care teams such as doctors, behavioral health providers, and home health nurses so that care and service needs of residents are met</w:t>
      </w:r>
    </w:p>
    <w:p w14:paraId="016AB4F8" w14:textId="77777777" w:rsidR="00655C5D" w:rsidRPr="00D749A7" w:rsidRDefault="00655C5D" w:rsidP="00655C5D">
      <w:pPr>
        <w:pStyle w:val="ListParagraph"/>
        <w:numPr>
          <w:ilvl w:val="0"/>
          <w:numId w:val="1"/>
        </w:numPr>
        <w:spacing w:after="0"/>
        <w:rPr>
          <w:rFonts w:cstheme="minorHAnsi"/>
        </w:rPr>
      </w:pPr>
      <w:r w:rsidRPr="00D749A7">
        <w:rPr>
          <w:rFonts w:cstheme="minorHAnsi"/>
        </w:rPr>
        <w:t>Department of Social and Health Services staff, including staff from the Developmental Disabilities Administration and Aging and Long-Term Support Administration</w:t>
      </w:r>
    </w:p>
    <w:p w14:paraId="75AD308F" w14:textId="77777777" w:rsidR="00655C5D" w:rsidRPr="00D749A7" w:rsidRDefault="00655C5D" w:rsidP="00655C5D">
      <w:pPr>
        <w:spacing w:after="0"/>
        <w:rPr>
          <w:rFonts w:cstheme="minorHAnsi"/>
        </w:rPr>
      </w:pPr>
    </w:p>
    <w:p w14:paraId="102CCD13" w14:textId="77777777" w:rsidR="00D93712" w:rsidRDefault="00655C5D" w:rsidP="00735F98">
      <w:pPr>
        <w:spacing w:after="0"/>
        <w:rPr>
          <w:rFonts w:cstheme="minorHAnsi"/>
        </w:rPr>
      </w:pPr>
      <w:r w:rsidRPr="00D749A7">
        <w:rPr>
          <w:rFonts w:cstheme="minorHAnsi"/>
        </w:rPr>
        <w:t>Those who are visiting under end of life circumstance must be screened for signs and symptoms of COVID-19</w:t>
      </w:r>
    </w:p>
    <w:p w14:paraId="21C3F8F1" w14:textId="77777777" w:rsidR="00735F98" w:rsidRPr="00735F98" w:rsidRDefault="00735F98" w:rsidP="00735F98">
      <w:pPr>
        <w:spacing w:after="0"/>
        <w:rPr>
          <w:rFonts w:cstheme="minorHAnsi"/>
        </w:rPr>
      </w:pPr>
    </w:p>
    <w:p w14:paraId="76320160" w14:textId="77777777" w:rsidR="00D93712" w:rsidRDefault="00D93712" w:rsidP="00D93712">
      <w:r>
        <w:t>Additionally Home and Community Services (HCS) has publicly stated they are advising that all assessments conducted by HCS assessors in all programs should be done telephonically or by using other technology in place of in-person visits wherever possible.</w:t>
      </w:r>
    </w:p>
    <w:sectPr w:rsidR="00D9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6738E"/>
    <w:multiLevelType w:val="hybridMultilevel"/>
    <w:tmpl w:val="9F00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95"/>
    <w:rsid w:val="00242A6C"/>
    <w:rsid w:val="003B00F6"/>
    <w:rsid w:val="004E31EF"/>
    <w:rsid w:val="00655C5D"/>
    <w:rsid w:val="006E1569"/>
    <w:rsid w:val="006E2795"/>
    <w:rsid w:val="00735F98"/>
    <w:rsid w:val="00880985"/>
    <w:rsid w:val="008C3E6D"/>
    <w:rsid w:val="00D83970"/>
    <w:rsid w:val="00D9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1CE8"/>
  <w15:chartTrackingRefBased/>
  <w15:docId w15:val="{4F0D7985-D841-44E8-8449-A676811A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95"/>
    <w:rPr>
      <w:color w:val="0563C1" w:themeColor="hyperlink"/>
      <w:u w:val="single"/>
    </w:rPr>
  </w:style>
  <w:style w:type="paragraph" w:styleId="ListParagraph">
    <w:name w:val="List Paragraph"/>
    <w:basedOn w:val="Normal"/>
    <w:uiPriority w:val="34"/>
    <w:qFormat/>
    <w:rsid w:val="00655C5D"/>
    <w:pPr>
      <w:ind w:left="720"/>
      <w:contextualSpacing/>
    </w:pPr>
  </w:style>
  <w:style w:type="character" w:styleId="FollowedHyperlink">
    <w:name w:val="FollowedHyperlink"/>
    <w:basedOn w:val="DefaultParagraphFont"/>
    <w:uiPriority w:val="99"/>
    <w:semiHidden/>
    <w:unhideWhenUsed/>
    <w:rsid w:val="008C3E6D"/>
    <w:rPr>
      <w:color w:val="954F72" w:themeColor="followedHyperlink"/>
      <w:u w:val="single"/>
    </w:rPr>
  </w:style>
  <w:style w:type="paragraph" w:styleId="NormalWeb">
    <w:name w:val="Normal (Web)"/>
    <w:basedOn w:val="Normal"/>
    <w:uiPriority w:val="99"/>
    <w:semiHidden/>
    <w:unhideWhenUsed/>
    <w:rsid w:val="008C3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5408">
      <w:bodyDiv w:val="1"/>
      <w:marLeft w:val="0"/>
      <w:marRight w:val="0"/>
      <w:marTop w:val="0"/>
      <w:marBottom w:val="0"/>
      <w:divBdr>
        <w:top w:val="none" w:sz="0" w:space="0" w:color="auto"/>
        <w:left w:val="none" w:sz="0" w:space="0" w:color="auto"/>
        <w:bottom w:val="none" w:sz="0" w:space="0" w:color="auto"/>
        <w:right w:val="none" w:sz="0" w:space="0" w:color="auto"/>
      </w:divBdr>
      <w:divsChild>
        <w:div w:id="1987930810">
          <w:marLeft w:val="0"/>
          <w:marRight w:val="0"/>
          <w:marTop w:val="0"/>
          <w:marBottom w:val="0"/>
          <w:divBdr>
            <w:top w:val="none" w:sz="0" w:space="0" w:color="auto"/>
            <w:left w:val="none" w:sz="0" w:space="0" w:color="auto"/>
            <w:bottom w:val="none" w:sz="0" w:space="0" w:color="auto"/>
            <w:right w:val="none" w:sz="0" w:space="0" w:color="auto"/>
          </w:divBdr>
        </w:div>
        <w:div w:id="236937671">
          <w:marLeft w:val="0"/>
          <w:marRight w:val="0"/>
          <w:marTop w:val="0"/>
          <w:marBottom w:val="0"/>
          <w:divBdr>
            <w:top w:val="none" w:sz="0" w:space="0" w:color="auto"/>
            <w:left w:val="none" w:sz="0" w:space="0" w:color="auto"/>
            <w:bottom w:val="none" w:sz="0" w:space="0" w:color="auto"/>
            <w:right w:val="none" w:sz="0" w:space="0" w:color="auto"/>
          </w:divBdr>
        </w:div>
      </w:divsChild>
    </w:div>
    <w:div w:id="956374724">
      <w:bodyDiv w:val="1"/>
      <w:marLeft w:val="0"/>
      <w:marRight w:val="0"/>
      <w:marTop w:val="0"/>
      <w:marBottom w:val="0"/>
      <w:divBdr>
        <w:top w:val="none" w:sz="0" w:space="0" w:color="auto"/>
        <w:left w:val="none" w:sz="0" w:space="0" w:color="auto"/>
        <w:bottom w:val="none" w:sz="0" w:space="0" w:color="auto"/>
        <w:right w:val="none" w:sz="0" w:space="0" w:color="auto"/>
      </w:divBdr>
      <w:divsChild>
        <w:div w:id="868836739">
          <w:marLeft w:val="0"/>
          <w:marRight w:val="0"/>
          <w:marTop w:val="0"/>
          <w:marBottom w:val="0"/>
          <w:divBdr>
            <w:top w:val="none" w:sz="0" w:space="0" w:color="auto"/>
            <w:left w:val="none" w:sz="0" w:space="0" w:color="auto"/>
            <w:bottom w:val="none" w:sz="0" w:space="0" w:color="auto"/>
            <w:right w:val="none" w:sz="0" w:space="0" w:color="auto"/>
          </w:divBdr>
        </w:div>
        <w:div w:id="1851288825">
          <w:marLeft w:val="0"/>
          <w:marRight w:val="0"/>
          <w:marTop w:val="0"/>
          <w:marBottom w:val="0"/>
          <w:divBdr>
            <w:top w:val="none" w:sz="0" w:space="0" w:color="auto"/>
            <w:left w:val="none" w:sz="0" w:space="0" w:color="auto"/>
            <w:bottom w:val="none" w:sz="0" w:space="0" w:color="auto"/>
            <w:right w:val="none" w:sz="0" w:space="0" w:color="auto"/>
          </w:divBdr>
        </w:div>
      </w:divsChild>
    </w:div>
    <w:div w:id="16536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4.42.056" TargetMode="External"/><Relationship Id="rId13" Type="http://schemas.openxmlformats.org/officeDocument/2006/relationships/hyperlink" Target="https://app.leg.wa.gov/wac/default.aspx?cite=388-97-0520" TargetMode="External"/><Relationship Id="rId18" Type="http://schemas.openxmlformats.org/officeDocument/2006/relationships/hyperlink" Target="https://app.leg.wa.gov/wac/default.aspx?cite=388-78A-246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leg.wa.gov/rcw/default.aspx?cite=70.129.090" TargetMode="External"/><Relationship Id="rId12" Type="http://schemas.openxmlformats.org/officeDocument/2006/relationships/hyperlink" Target="https://www.governor.wa.gov/sites/default/files/proclamations/20-06%20Coronavirus%20%28tmp%29.pdf" TargetMode="External"/><Relationship Id="rId17" Type="http://schemas.openxmlformats.org/officeDocument/2006/relationships/hyperlink" Target="https://apps.leg.wa.gov/WAC/default.aspx?cite=388-78A-2462" TargetMode="External"/><Relationship Id="rId2" Type="http://schemas.openxmlformats.org/officeDocument/2006/relationships/styles" Target="styles.xml"/><Relationship Id="rId16" Type="http://schemas.openxmlformats.org/officeDocument/2006/relationships/hyperlink" Target="http://app.leg.wa.gov/RCW/default.aspx?cite=74.39A.0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leg.wa.gov/rcw/default.aspx?cite=18.51.230" TargetMode="External"/><Relationship Id="rId11" Type="http://schemas.openxmlformats.org/officeDocument/2006/relationships/hyperlink" Target="https://apps.leg.wa.gov/wac/default.aspx?cite=388-106-0360" TargetMode="External"/><Relationship Id="rId5" Type="http://schemas.openxmlformats.org/officeDocument/2006/relationships/hyperlink" Target="https://app.leg.wa.gov/rcw/default.aspx?cite=18.51.091" TargetMode="External"/><Relationship Id="rId15" Type="http://schemas.openxmlformats.org/officeDocument/2006/relationships/hyperlink" Target="https://app.leg.wa.gov/RCW/default.aspx?cite=18.20.110" TargetMode="External"/><Relationship Id="rId10" Type="http://schemas.openxmlformats.org/officeDocument/2006/relationships/hyperlink" Target="https://app.leg.wa.gov/WAC/default.aspx?cite=388-97-1090" TargetMode="External"/><Relationship Id="rId19" Type="http://schemas.openxmlformats.org/officeDocument/2006/relationships/hyperlink" Target="https://www.governor.wa.gov/sites/default/files/proclamations/20-16%20Coronavirus%20No%20visitors%20LTC%20%28tmp%29.pdf" TargetMode="External"/><Relationship Id="rId4" Type="http://schemas.openxmlformats.org/officeDocument/2006/relationships/webSettings" Target="webSettings.xml"/><Relationship Id="rId9" Type="http://schemas.openxmlformats.org/officeDocument/2006/relationships/hyperlink" Target="https://app.leg.wa.gov/RCW/default.aspx?cite=74.42.360" TargetMode="External"/><Relationship Id="rId14" Type="http://schemas.openxmlformats.org/officeDocument/2006/relationships/hyperlink" Target="https://app.leg.wa.gov/wac/default.aspx?cite=388-97-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Odegaard</dc:creator>
  <cp:keywords/>
  <dc:description/>
  <cp:lastModifiedBy>Laura Hofmann</cp:lastModifiedBy>
  <cp:revision>2</cp:revision>
  <dcterms:created xsi:type="dcterms:W3CDTF">2020-03-20T16:15:00Z</dcterms:created>
  <dcterms:modified xsi:type="dcterms:W3CDTF">2020-03-20T16:15:00Z</dcterms:modified>
</cp:coreProperties>
</file>